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中国案例指导制度  理论·实践  判例研读沙龙  2</w:t>
      </w:r>
    </w:p>
    <w:p>
      <w:r>
        <w:rPr>
          <w:rFonts w:ascii="宋体" w:hAnsi="宋体" w:eastAsia="宋体"/>
          <w:sz w:val="24"/>
        </w:rPr>
        <w:t>杜鹃，黄卉，朱芒，解亘，章剑生，周伟，陈越峰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中国案例指导制度  理论·实践  判例研读沙龙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杜鹃，黄卉，朱芒，解亘，章剑生，周伟，陈越峰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本书出售、求购地址：https://www.jiaokey.com/book/detail/14581016.html</w:t>
      </w:r>
    </w:p>
    <w:p>
      <w:r>
        <w:t>更多相关图书推荐：https://www.jiaokey.com</w:t>
      </w:r>
    </w:p>
    <w:p>
      <w:r>
        <w:t>杜鹃，黄卉，朱芒，解亘，章剑生，周伟，陈越峰 其他作品：https://www.jiaokey.com/tag/杜鹃，黄卉，朱芒，解亘，章剑生，周伟，陈越峰.html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关键词搜索：https://www.jiaokey.com/tag/中国案例指导制度  理论·实践  判例研读沙龙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