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环境审判机制创新研究</w:t>
      </w:r>
    </w:p>
    <w:p>
      <w:r>
        <w:rPr>
          <w:rFonts w:ascii="宋体" w:hAnsi="宋体" w:eastAsia="宋体"/>
          <w:sz w:val="24"/>
        </w:rPr>
        <w:t>吴勇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环境审判机制创新研究</w:t>
            </w:r>
          </w:p>
        </w:tc>
      </w:tr>
      <w:tr>
        <w:tc>
          <w:tcPr>
            <w:tcW w:type="dxa" w:w="4320"/>
          </w:tcPr>
          <w:p>
            <w:r>
              <w:t>作者</w:t>
            </w:r>
          </w:p>
        </w:tc>
        <w:tc>
          <w:tcPr>
            <w:tcW w:type="dxa" w:w="4320"/>
          </w:tcPr>
          <w:p>
            <w:r>
              <w:t>吴勇</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9787519731496</w:t>
            </w:r>
          </w:p>
        </w:tc>
      </w:tr>
      <w:tr>
        <w:tc>
          <w:tcPr>
            <w:tcW w:type="dxa" w:w="4320"/>
          </w:tcPr>
          <w:p>
            <w:r>
              <w:t>出版日期</w:t>
            </w:r>
          </w:p>
        </w:tc>
        <w:tc>
          <w:tcPr>
            <w:tcW w:type="dxa" w:w="4320"/>
          </w:tcPr>
          <w:p>
            <w:r>
              <w:t>2019-03-01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t>环境保护法-审判-研究-中国</w:t>
            </w:r>
          </w:p>
        </w:tc>
      </w:tr>
      <w:tr>
        <w:tc>
          <w:tcPr>
            <w:tcW w:type="dxa" w:w="4320"/>
          </w:tcPr>
          <w:p>
            <w:r>
              <w:t>分类</w:t>
            </w:r>
          </w:p>
        </w:tc>
        <w:tc>
          <w:tcPr>
            <w:tcW w:type="dxa" w:w="4320"/>
          </w:tcPr>
          <w:p>
            <w:r>
              <w:t>自然资源与环境保护法</w:t>
            </w:r>
          </w:p>
        </w:tc>
      </w:tr>
    </w:tbl>
    <w:p/>
    <w:p>
      <w:pPr>
        <w:pStyle w:val="Heading1"/>
      </w:pPr>
      <w:r>
        <w:t>图书介绍</w:t>
      </w:r>
    </w:p>
    <w:p>
      <w:r>
        <w:t>本书稿通过对我国环境司法救济现状的考察，对我国环境诉讼发展趋势的分析以及国外环境审判的运行机制的探究，阐释我国环境审判机制创新的必要性和可能性，明确环境审判机制改革的方向和内容，并提出实现路径，为我国环境纠纷解决、环境权益的保护和可持续发展目标的实现提供较好的平台，为司法救济机制的完善提供理论依据。</w:t>
      </w:r>
    </w:p>
    <w:p/>
    <w:p>
      <w:r>
        <w:t>本书出售、求购地址：https://www.jiaokey.com/book/detail/14580416.html</w:t>
      </w:r>
    </w:p>
    <w:p>
      <w:r>
        <w:t>更多自然资源与环境保护法图书推荐：https://www.jiaokey.com</w:t>
      </w:r>
    </w:p>
    <w:p>
      <w:r>
        <w:t>吴勇 其他作品：https://www.jiaokey.com/tag/吴勇.html</w:t>
      </w:r>
    </w:p>
    <w:p>
      <w:r>
        <w:t>北京：法律出版社 出版图书：https://www.jiaokey.com/tag/北京：法律出版社.html</w:t>
      </w:r>
    </w:p>
    <w:p>
      <w:r>
        <w:t>关键词搜索：https://www.jiaokey.com/tag/环境保护法-审判-研究-中国.html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