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书名：私人财富与股权纠纷</w:t>
      </w:r>
    </w:p>
    <w:p>
      <w:r>
        <w:t>作者：薛京著</w:t>
      </w:r>
    </w:p>
    <w:p>
      <w:r>
        <w:t>出版社：北京：企业管理出版社</w:t>
      </w:r>
    </w:p>
    <w:p>
      <w:r>
        <w:t>出版日期：2019</w:t>
      </w:r>
    </w:p>
    <w:p>
      <w:r>
        <w:t>总页数：230</w:t>
      </w:r>
    </w:p>
    <w:p>
      <w:r>
        <w:t>更多请访问教客网: www.jiaokey.com</w:t>
      </w:r>
    </w:p>
    <w:p>
      <w:r>
        <w:t>私人财富与股权纠纷 评论地址：https://www.jiaokey.com/book/detail/14580164.html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