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沙漠绿色经济</w:t>
      </w:r>
    </w:p>
    <w:p>
      <w:r>
        <w:rPr>
          <w:rFonts w:ascii="宋体" w:hAnsi="宋体" w:eastAsia="宋体"/>
          <w:sz w:val="24"/>
        </w:rPr>
        <w:t>王文彪编著；郝诚之，姚洪林，尹成国，田继生，王文治，王钟涛，贺鹏飞编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沙漠绿色经济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王文彪编著；郝诚之，姚洪林，尹成国，田继生，王文治，王钟涛，贺鹏飞编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本书出售、求购地址：https://www.jiaokey.com/book/detail/14577732.html</w:t>
      </w:r>
    </w:p>
    <w:p>
      <w:r>
        <w:t>更多相关图书推荐：https://www.jiaokey.com</w:t>
      </w:r>
    </w:p>
    <w:p>
      <w:r>
        <w:t>王文彪编著；郝诚之，姚洪林，尹成国，田继生，王文治，王钟涛，贺鹏飞编 其他作品：https://www.jiaokey.com/tag/王文彪编著；郝诚之，姚洪林，尹成国，田继生，王文治，王钟涛，贺鹏飞编.html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关键词搜索：https://www.jiaokey.com/tag/沙漠绿色经济.html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