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Hi艺术  798艺术区的进与退  当代艺术第一现场的江湖地位何以稳固？ No.002</w:t>
      </w:r>
    </w:p>
    <w:p>
      <w:r>
        <w:rPr>
          <w:rFonts w:ascii="宋体" w:hAnsi="宋体" w:eastAsia="宋体"/>
          <w:sz w:val="24"/>
        </w:rPr>
        <w:t>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Hi艺术  798艺术区的进与退  当代艺术第一现场的江湖地位何以稳固？ No.002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本书出售、求购地址：https://www.jiaokey.com/book/detail/14576811.html</w:t>
      </w:r>
    </w:p>
    <w:p>
      <w:r>
        <w:t>更多相关图书推荐：https://www.jiaokey.com</w:t>
      </w:r>
    </w:p>
    <w:p>
      <w:r>
        <w:t>罗颖著 其他作品：https://www.jiaokey.com/tag/罗颖著.html</w:t>
      </w:r>
    </w:p>
    <w:p>
      <w:r>
        <w:t>关键词搜索：https://www.jiaokey.com/tag/Hi艺术  798艺术区的进与退  当代艺术第一现场的江湖地位何以稳固？ No.002.html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