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民法研究指引  专业论文撰写必携</w:t>
      </w:r>
    </w:p>
    <w:p>
      <w:r>
        <w:rPr>
          <w:rFonts w:ascii="宋体" w:hAnsi="宋体" w:eastAsia="宋体"/>
          <w:sz w:val="24"/>
        </w:rPr>
        <w:t>（日）大村敦志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民法研究指引  专业论文撰写必携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（日）大村敦志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本书出售、求购地址：https://www.jiaokey.com/book/detail/14576195.html</w:t>
      </w:r>
    </w:p>
    <w:p>
      <w:r>
        <w:t>更多相关图书推荐：https://www.jiaokey.com</w:t>
      </w:r>
    </w:p>
    <w:p>
      <w:r>
        <w:t>（日）大村敦志 其他作品：https://www.jiaokey.com/tag/（日）大村敦志.html</w:t>
      </w:r>
    </w:p>
    <w:p>
      <w:r>
        <w:t>关键词搜索：https://www.jiaokey.com/tag/民法研究指引  专业论文撰写必携.html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