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纺织机械行业劳动定额时间标准（试行）  上</w:t>
      </w:r>
    </w:p>
    <w:p>
      <w:r>
        <w:rPr>
          <w:rFonts w:ascii="宋体" w:hAnsi="宋体" w:eastAsia="宋体"/>
          <w:sz w:val="24"/>
        </w:rPr>
        <w:t>中国纺织机械工业总公司编制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纺织机械行业劳动定额时间标准（试行）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中国纺织机械工业总公司编制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本书出售、求购地址：https://www.jiaokey.com/book/detail/14575798.html</w:t>
      </w:r>
    </w:p>
    <w:p>
      <w:r>
        <w:t>更多相关图书推荐：https://www.jiaokey.com</w:t>
      </w:r>
    </w:p>
    <w:p>
      <w:r>
        <w:t>中国纺织机械工业总公司编制 其他作品：https://www.jiaokey.com/tag/中国纺织机械工业总公司编制.html</w:t>
      </w:r>
    </w:p>
    <w:p>
      <w:r>
        <w:t>纺织工业部 出版图书：https://www.jiaokey.com/tag/纺织工业部.html</w:t>
      </w:r>
    </w:p>
    <w:p>
      <w:r>
        <w:t>关键词搜索：https://www.jiaokey.com/tag/纺织机械行业劳动定额时间标准（试行）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