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2013年河南工商行政管理发展分析报告</w:t>
      </w:r>
    </w:p>
    <w:p>
      <w:r>
        <w:rPr>
          <w:rFonts w:ascii="宋体" w:hAnsi="宋体" w:eastAsia="宋体"/>
          <w:sz w:val="24"/>
        </w:rPr>
        <w:t>河南省市场经济监督管理研究中心组织编写；雷生云主编；田文才，郭建斌副主编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2013年河南工商行政管理发展分析报告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河南省市场经济监督管理研究中心组织编写；雷生云主编；田文才，郭建斌副主编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本书出售、求购地址：https://www.jiaokey.com/book/detail/14575069.html</w:t>
      </w:r>
    </w:p>
    <w:p>
      <w:r>
        <w:t>更多相关图书推荐：https://www.jiaokey.com</w:t>
      </w:r>
    </w:p>
    <w:p>
      <w:r>
        <w:t>河南省市场经济监督管理研究中心组织编写；雷生云主编；田文才，郭建斌副主编 其他作品：https://www.jiaokey.com/tag/河南省市场经济监督管理研究中心组织编写；雷生云主编；田文才，郭建斌副主编.html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关键词搜索：https://www.jiaokey.com/tag/2013年河南工商行政管理发展分析报告.html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