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财务会计和财务报表分析</w:t>
      </w:r>
    </w:p>
    <w:p>
      <w:r>
        <w:rPr>
          <w:rFonts w:ascii="宋体" w:hAnsi="宋体" w:eastAsia="宋体"/>
          <w:sz w:val="24"/>
        </w:rPr>
        <w:t>国际投资专业人士学习平台，瑞士投资专业人士培训中心，中国证券业协会编著；中国证券业协会编译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财务会计和财务报表分析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国际投资专业人士学习平台，瑞士投资专业人士培训中心，中国证券业协会编著；中国证券业协会编译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本书出售、求购地址：https://www.jiaokey.com/book/detail/14573328.html</w:t>
      </w:r>
    </w:p>
    <w:p>
      <w:r>
        <w:t>更多相关图书推荐：https://www.jiaokey.com</w:t>
      </w:r>
    </w:p>
    <w:p>
      <w:r>
        <w:t>国际投资专业人士学习平台，瑞士投资专业人士培训中心，中国证券业协会编著；中国证券业协会编译 其他作品：https://www.jiaokey.com/tag/国际投资专业人士学习平台，瑞士投资专业人士培训中心，中国证券业协会编著；中国证券业协会编译.html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关键词搜索：https://www.jiaokey.com/tag/财务会计和财务报表分析.html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