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职业教育十三五规划教  移动电子商务</w:t>
      </w:r>
    </w:p>
    <w:p>
      <w:r>
        <w:rPr>
          <w:rFonts w:ascii="宋体" w:hAnsi="宋体" w:eastAsia="宋体"/>
          <w:sz w:val="24"/>
        </w:rPr>
        <w:t>王红蕾主编；王元波副主编；刘冬美，张叔阳，尚彤，陈美荣，叶靖，王海英，陈栋参编；段建主审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职业教育十三五规划教  移动电子商务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王红蕾主编；王元波副主编；刘冬美，张叔阳，尚彤，陈美荣，叶靖，王海英，陈栋参编；段建主审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本书出售、求购地址：https://www.jiaokey.com/book/detail/14573229.html</w:t>
      </w:r>
    </w:p>
    <w:p>
      <w:r>
        <w:t>更多相关图书推荐：https://www.jiaokey.com</w:t>
      </w:r>
    </w:p>
    <w:p>
      <w:r>
        <w:t>王红蕾主编；王元波副主编；刘冬美，张叔阳，尚彤，陈美荣，叶靖，王海英，陈栋参编；段建主审 其他作品：https://www.jiaokey.com/tag/王红蕾主编；王元波副主编；刘冬美，张叔阳，尚彤，陈美荣，叶靖，王海英，陈栋参编；段建主审.html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关键词搜索：https://www.jiaokey.com/tag/职业教育十三五规划教  移动电子商务.html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