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公司战略与风险管理</w:t>
      </w:r>
    </w:p>
    <w:p>
      <w:r>
        <w:rPr>
          <w:rFonts w:ascii="宋体" w:hAnsi="宋体" w:eastAsia="宋体"/>
          <w:sz w:val="24"/>
        </w:rPr>
        <w:t>财会方舟网策划；上海国家会计学院组编；李扣庆总编；刘凤委，张英奎，吴忠生编著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公司战略与风险管理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财会方舟网策划；上海国家会计学院组编；李扣庆总编；刘凤委，张英奎，吴忠生编著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本书出售、求购地址：https://www.jiaokey.com/book/detail/14573116.html</w:t>
      </w:r>
    </w:p>
    <w:p>
      <w:r>
        <w:t>更多相关图书推荐：https://www.jiaokey.com</w:t>
      </w:r>
    </w:p>
    <w:p>
      <w:r>
        <w:t>财会方舟网策划；上海国家会计学院组编；李扣庆总编；刘凤委，张英奎，吴忠生编著 其他作品：https://www.jiaokey.com/tag/财会方舟网策划；上海国家会计学院组编；李扣庆总编；刘凤委，张英奎，吴忠生编著.html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关键词搜索：https://www.jiaokey.com/tag/公司战略与风险管理.html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