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长江中上游流域洪水天气特征分析</w:t>
      </w:r>
    </w:p>
    <w:p>
      <w:r>
        <w:rPr>
          <w:rFonts w:ascii="宋体" w:hAnsi="宋体" w:eastAsia="宋体"/>
          <w:sz w:val="24"/>
        </w:rPr>
        <w:t>赵云发，崔讲学主编；陈忠贤，吴翠红，陈良华，田刚，王晓玲副主编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长江中上游流域洪水天气特征分析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赵云发，崔讲学主编；陈忠贤，吴翠红，陈良华，田刚，王晓玲副主编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本书出售、求购地址：https://www.jiaokey.com/book/detail/14572628.html</w:t>
      </w:r>
    </w:p>
    <w:p>
      <w:r>
        <w:t>更多相关图书推荐：https://www.jiaokey.com</w:t>
      </w:r>
    </w:p>
    <w:p>
      <w:r>
        <w:t>赵云发，崔讲学主编；陈忠贤，吴翠红，陈良华，田刚，王晓玲副主编 其他作品：https://www.jiaokey.com/tag/赵云发，崔讲学主编；陈忠贤，吴翠红，陈良华，田刚，王晓玲副主编.html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关键词搜索：https://www.jiaokey.com/tag/长江中上游流域洪水天气特征分析.html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