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</w:t>
      </w:r>
    </w:p>
    <w:p>
      <w:r>
        <w:rPr>
          <w:rFonts w:ascii="宋体" w:hAnsi="宋体" w:eastAsia="宋体"/>
          <w:sz w:val="24"/>
        </w:rPr>
        <w:t>刘沁易，王文青主编；吴琼，何雁，焦玉翠，张丽娟，陈毅斌，徐严副主编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刘沁易，王文青主编；吴琼，何雁，焦玉翠，张丽娟，陈毅斌，徐严副主编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本书出售、求购地址：https://www.jiaokey.com/book/detail/14568808.html</w:t>
      </w:r>
    </w:p>
    <w:p>
      <w:r>
        <w:t>更多相关图书推荐：https://www.jiaokey.com</w:t>
      </w:r>
    </w:p>
    <w:p>
      <w:r>
        <w:t>刘沁易，王文青主编；吴琼，何雁，焦玉翠，张丽娟，陈毅斌，徐严副主编 其他作品：https://www.jiaokey.com/tag/刘沁易，王文青主编；吴琼，何雁，焦玉翠，张丽娟，陈毅斌，徐严副主编.html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关键词搜索：https://www.jiaokey.com/tag/公共关系.html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