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湘南燕山期区域成矿构造型式及成矿花岗岩成因研究</w:t>
      </w:r>
    </w:p>
    <w:p>
      <w:r>
        <w:rPr>
          <w:rFonts w:ascii="宋体" w:hAnsi="宋体" w:eastAsia="宋体"/>
          <w:sz w:val="24"/>
        </w:rPr>
        <w:t>孔华，奚小双，全铁军，吴堑，李欢著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湘南燕山期区域成矿构造型式及成矿花岗岩成因研究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孔华，奚小双，全铁军，吴堑，李欢著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本书出售、求购地址：https://www.jiaokey.com/book/detail/14567598.html</w:t>
      </w:r>
    </w:p>
    <w:p>
      <w:r>
        <w:t>更多相关图书推荐：https://www.jiaokey.com</w:t>
      </w:r>
    </w:p>
    <w:p>
      <w:r>
        <w:t>孔华，奚小双，全铁军，吴堑，李欢著 其他作品：https://www.jiaokey.com/tag/孔华，奚小双，全铁军，吴堑，李欢著.html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关键词搜索：https://www.jiaokey.com/tag/湘南燕山期区域成矿构造型式及成矿花岗岩成因研究.html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