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孙子兵法释评</w:t>
      </w:r>
    </w:p>
    <w:p>
      <w:r>
        <w:rPr>
          <w:rFonts w:ascii="宋体" w:hAnsi="宋体" w:eastAsia="宋体"/>
          <w:sz w:val="24"/>
        </w:rPr>
        <w:t>李文宣，孟天财主编；冷效林，郗孟祥，潘红宁，王文军参编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孙子兵法释评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李文宣，孟天财主编；冷效林，郗孟祥，潘红宁，王文军参编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本书出售、求购地址：https://www.jiaokey.com/book/detail/14566241.html</w:t>
      </w:r>
    </w:p>
    <w:p>
      <w:r>
        <w:t>更多相关图书推荐：https://www.jiaokey.com</w:t>
      </w:r>
    </w:p>
    <w:p>
      <w:r>
        <w:t>李文宣，孟天财主编；冷效林，郗孟祥，潘红宁，王文军参编 其他作品：https://www.jiaokey.com/tag/李文宣，孟天财主编；冷效林，郗孟祥，潘红宁，王文军参编.html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关键词搜索：https://www.jiaokey.com/tag/孙子兵法释评.html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