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新疆地貌格局及其效应</w:t>
      </w:r>
    </w:p>
    <w:p>
      <w:r>
        <w:rPr>
          <w:rFonts w:ascii="宋体" w:hAnsi="宋体" w:eastAsia="宋体"/>
          <w:sz w:val="24"/>
        </w:rPr>
        <w:t>程维明，包安明，柴慧霞，赵尚民，方月著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新疆地貌格局及其效应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程维明，包安明，柴慧霞，赵尚民，方月著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本书出售、求购地址：https://www.jiaokey.com/book/detail/14565795.html</w:t>
      </w:r>
    </w:p>
    <w:p>
      <w:r>
        <w:t>更多相关图书推荐：https://www.jiaokey.com</w:t>
      </w:r>
    </w:p>
    <w:p>
      <w:r>
        <w:t>程维明，包安明，柴慧霞，赵尚民，方月著 其他作品：https://www.jiaokey.com/tag/程维明，包安明，柴慧霞，赵尚民，方月著.html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关键词搜索：https://www.jiaokey.com/tag/新疆地貌格局及其效应.html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