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工程项目BIM应用行为的制度性驱动因素及绩效影响机制研究</w:t>
      </w:r>
    </w:p>
    <w:p>
      <w:r>
        <w:rPr>
          <w:rFonts w:ascii="宋体" w:hAnsi="宋体" w:eastAsia="宋体"/>
          <w:sz w:val="24"/>
        </w:rPr>
        <w:t>曹冬平著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工程项目BIM应用行为的制度性驱动因素及绩效影响机制研究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本书出售、求购地址：https://www.jiaokey.com/book/detail/14565670.html</w:t>
      </w:r>
    </w:p>
    <w:p>
      <w:r>
        <w:t>更多相关图书推荐：https://www.jiaokey.com</w:t>
      </w:r>
    </w:p>
    <w:p>
      <w:r>
        <w:t>曹冬平著 其他作品：https://www.jiaokey.com/tag/曹冬平著.html</w:t>
      </w:r>
    </w:p>
    <w:p>
      <w:r>
        <w:t>关键词搜索：https://www.jiaokey.com/tag/工程项目BIM应用行为的制度性驱动因素及绩效影响机制研究.html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