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中国新闻史研究辑刊  二编  第8册  性别与职业：民国时期女记者的身份认同（1919~1949）</w:t>
      </w:r>
    </w:p>
    <w:p>
      <w:r>
        <w:rPr>
          <w:rFonts w:ascii="宋体" w:hAnsi="宋体" w:eastAsia="宋体"/>
          <w:sz w:val="24"/>
        </w:rPr>
        <w:t>冯剑侠著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中国新闻史研究辑刊  二编  第8册  性别与职业：民国时期女记者的身份认同（1919~1949）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本书出售、求购地址：https://www.jiaokey.com/book/detail/14564193.html</w:t>
      </w:r>
    </w:p>
    <w:p>
      <w:r>
        <w:t>更多相关图书推荐：https://www.jiaokey.com</w:t>
      </w:r>
    </w:p>
    <w:p>
      <w:r>
        <w:t>冯剑侠著 其他作品：https://www.jiaokey.com/tag/冯剑侠著.html</w:t>
      </w:r>
    </w:p>
    <w:p>
      <w:r>
        <w:t>关键词搜索：https://www.jiaokey.com/tag/中国新闻史研究辑刊  二编  第8册  性别与职业：民国时期女记者的身份认同（1919~1949）.html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