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广告策划与文案制作</w:t>
      </w:r>
    </w:p>
    <w:p>
      <w:r>
        <w:rPr>
          <w:rFonts w:ascii="宋体" w:hAnsi="宋体" w:eastAsia="宋体"/>
          <w:sz w:val="24"/>
        </w:rPr>
        <w:t>史春霞，黄泽锋主编；寇大巍，李亚瑾，陈红，汪训副主编；曲婉婉参编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广告策划与文案制作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史春霞，黄泽锋主编；寇大巍，李亚瑾，陈红，汪训副主编；曲婉婉参编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本书出售、求购地址：https://www.jiaokey.com/book/detail/14562880.html</w:t>
      </w:r>
    </w:p>
    <w:p>
      <w:r>
        <w:t>更多相关图书推荐：https://www.jiaokey.com</w:t>
      </w:r>
    </w:p>
    <w:p>
      <w:r>
        <w:t>史春霞，黄泽锋主编；寇大巍，李亚瑾，陈红，汪训副主编；曲婉婉参编 其他作品：https://www.jiaokey.com/tag/史春霞，黄泽锋主编；寇大巍，李亚瑾，陈红，汪训副主编；曲婉婉参编.html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关键词搜索：https://www.jiaokey.com/tag/广告策划与文案制作.html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