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中国古版年画珍本  四川  重庆卷</w:t>
      </w:r>
    </w:p>
    <w:p>
      <w:r>
        <w:rPr>
          <w:rFonts w:ascii="宋体" w:hAnsi="宋体" w:eastAsia="宋体"/>
          <w:sz w:val="24"/>
        </w:rPr>
        <w:t>王海霞主编；姜彦文，段明分卷主编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中国古版年画珍本  四川  重庆卷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王海霞主编；姜彦文，段明分卷主编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湖北美术出版社；北京工艺美术出版社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本书出售、求购地址：https://www.jiaokey.com/book/detail/14558869.html</w:t>
      </w:r>
    </w:p>
    <w:p>
      <w:r>
        <w:t>更多相关图书推荐：https://www.jiaokey.com</w:t>
      </w:r>
    </w:p>
    <w:p>
      <w:r>
        <w:t>王海霞主编；姜彦文，段明分卷主编 其他作品：https://www.jiaokey.com/tag/王海霞主编；姜彦文，段明分卷主编.html</w:t>
      </w:r>
    </w:p>
    <w:p>
      <w:r>
        <w:t>湖北美术出版社；北京工艺美术出版社 出版图书：https://www.jiaokey.com/tag/湖北美术出版社；北京工艺美术出版社.html</w:t>
      </w:r>
    </w:p>
    <w:p>
      <w:r>
        <w:t>关键词搜索：https://www.jiaokey.com/tag/中国古版年画珍本  四川  重庆卷.html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