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中国古籍原刻翻刻与初印后印研究  通论编  实例编</w:t>
      </w:r>
    </w:p>
    <w:p>
      <w:r>
        <w:rPr>
          <w:rFonts w:ascii="宋体" w:hAnsi="宋体" w:eastAsia="宋体"/>
          <w:sz w:val="24"/>
        </w:rPr>
        <w:t>郭立暄著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中国古籍原刻翻刻与初印后印研究  通论编  实例编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本书出售、求购地址：https://www.jiaokey.com/book/detail/14558765.html</w:t>
      </w:r>
    </w:p>
    <w:p>
      <w:r>
        <w:t>更多相关图书推荐：https://www.jiaokey.com</w:t>
      </w:r>
    </w:p>
    <w:p>
      <w:r>
        <w:t>郭立暄著 其他作品：https://www.jiaokey.com/tag/郭立暄著.html</w:t>
      </w:r>
    </w:p>
    <w:p>
      <w:r>
        <w:t>中西书局 出版图书：https://www.jiaokey.com/tag/中西书局.html</w:t>
      </w:r>
    </w:p>
    <w:p>
      <w:r>
        <w:t>关键词搜索：https://www.jiaokey.com/tag/中国古籍原刻翻刻与初印后印研究  通论编  实例编.html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