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“枫桥经验”的理论构建</w:t>
      </w:r>
    </w:p>
    <w:p>
      <w:r>
        <w:rPr>
          <w:rFonts w:ascii="宋体" w:hAnsi="宋体" w:eastAsia="宋体"/>
          <w:sz w:val="24"/>
        </w:rPr>
        <w:t>中国法学会“枫桥经验”理论总结和经验提升课题组著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“枫桥经验”的理论构建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中国法学会“枫桥经验”理论总结和经验提升课题组著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本书出售、求购地址：https://www.jiaokey.com/book/detail/14555480.html</w:t>
      </w:r>
    </w:p>
    <w:p>
      <w:r>
        <w:t>更多相关图书推荐：https://www.jiaokey.com</w:t>
      </w:r>
    </w:p>
    <w:p>
      <w:r>
        <w:t>中国法学会“枫桥经验”理论总结和经验提升课题组著 其他作品：https://www.jiaokey.com/tag/中国法学会“枫桥经验”理论总结和经验提升课题组著.html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关键词搜索：https://www.jiaokey.com/tag/“枫桥经验”的理论构建.html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