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二十四节气民俗文化  冬</w:t>
      </w:r>
    </w:p>
    <w:p>
      <w:r>
        <w:rPr>
          <w:rFonts w:ascii="宋体" w:hAnsi="宋体" w:eastAsia="宋体"/>
          <w:sz w:val="24"/>
        </w:rPr>
        <w:t>上海市学习型社会建设服务指导中心主编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二十四节气民俗文化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上海市学习型社会建设服务指导中心主编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上海浦江教育出版社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本书出售、求购地址：https://www.jiaokey.com/book/detail/14554334.html</w:t>
      </w:r>
    </w:p>
    <w:p>
      <w:r>
        <w:t>更多相关图书推荐：https://www.jiaokey.com</w:t>
      </w:r>
    </w:p>
    <w:p>
      <w:r>
        <w:t>上海市学习型社会建设服务指导中心主编 其他作品：https://www.jiaokey.com/tag/上海市学习型社会建设服务指导中心主编.html</w:t>
      </w:r>
    </w:p>
    <w:p>
      <w:r>
        <w:t>上海浦江教育出版社 出版图书：https://www.jiaokey.com/tag/上海浦江教育出版社.html</w:t>
      </w:r>
    </w:p>
    <w:p>
      <w:r>
        <w:t>关键词搜索：https://www.jiaokey.com/tag/二十四节气民俗文化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