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中药药效物质研究前沿  创新中药研发关键技术</w:t>
      </w:r>
    </w:p>
    <w:p>
      <w:r>
        <w:rPr>
          <w:rFonts w:ascii="宋体" w:hAnsi="宋体" w:eastAsia="宋体"/>
          <w:sz w:val="24"/>
        </w:rPr>
        <w:t>王毅，赵筱萍主编；王书芳，龚行楚，陆晓燕副主编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中药药效物质研究前沿  创新中药研发关键技术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王毅，赵筱萍主编；王书芳，龚行楚，陆晓燕副主编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本书出售、求购地址：https://www.jiaokey.com/book/detail/14553864.html</w:t>
      </w:r>
    </w:p>
    <w:p>
      <w:r>
        <w:t>更多相关图书推荐：https://www.jiaokey.com</w:t>
      </w:r>
    </w:p>
    <w:p>
      <w:r>
        <w:t>王毅，赵筱萍主编；王书芳，龚行楚，陆晓燕副主编 其他作品：https://www.jiaokey.com/tag/王毅，赵筱萍主编；王书芳，龚行楚，陆晓燕副主编.html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关键词搜索：https://www.jiaokey.com/tag/中药药效物质研究前沿  创新中药研发关键技术.html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