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国际版权与邻接权  伯尔尼公约及公约以外的新发展  第2版  上卷</w:t>
      </w:r>
    </w:p>
    <w:p>
      <w:r>
        <w:rPr>
          <w:rFonts w:ascii="宋体" w:hAnsi="宋体" w:eastAsia="宋体"/>
          <w:sz w:val="24"/>
        </w:rPr>
        <w:t>（澳）山姆·里基森（Sam Ricketson）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国际版权与邻接权  伯尔尼公约及公约以外的新发展  第2版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（澳）山姆·里基森（Sam Ricketson）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本书出售、求购地址：https://www.jiaokey.com/book/detail/14552132.html</w:t>
      </w:r>
    </w:p>
    <w:p>
      <w:r>
        <w:t>更多相关图书推荐：https://www.jiaokey.com</w:t>
      </w:r>
    </w:p>
    <w:p>
      <w:r>
        <w:t>（澳）山姆·里基森（Sam Ricketson） 其他作品：https://www.jiaokey.com/tag/（澳）山姆·里基森（Sam Ricketson）.html</w:t>
      </w:r>
    </w:p>
    <w:p>
      <w:r>
        <w:t>关键词搜索：https://www.jiaokey.com/tag/国际版权与邻接权  伯尔尼公约及公约以外的新发展  第2版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