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“海外广东”与对外开放新格局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“海外广东”与对外开放新格局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本书出售、求购地址：https://www.jiaokey.com/book/detail/14551803.html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关键词搜索：https://www.jiaokey.com/tag/“海外广东”与对外开放新格局.html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