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自然语言处理Python进阶</w:t>
      </w:r>
    </w:p>
    <w:p>
      <w:r>
        <w:rPr>
          <w:rFonts w:ascii="宋体" w:hAnsi="宋体" w:eastAsia="宋体"/>
          <w:sz w:val="24"/>
        </w:rPr>
        <w:t>（印）克里希纳·巴夫萨（Krishna Bhavsar），（印）纳雷什·库马尔（Naresh Kumar），（印）普拉塔普·丹蒂（Pratap Dangeti）著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自然语言处理Python进阶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（印）克里希纳·巴夫萨（Krishna Bhavsar），（印）纳雷什·库马尔（Naresh Kumar），（印）普拉塔普·丹蒂（Pratap Dangeti）著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本书出售、求购地址：https://www.jiaokey.com/book/detail/14546558.html</w:t>
      </w:r>
    </w:p>
    <w:p>
      <w:r>
        <w:t>更多相关图书推荐：https://www.jiaokey.com</w:t>
      </w:r>
    </w:p>
    <w:p>
      <w:r>
        <w:t>（印）克里希纳·巴夫萨（Krishna Bhavsar），（印）纳雷什·库马尔（Naresh Kumar），（印）普拉塔普·丹蒂（Pratap Dangeti）著 其他作品：https://www.jiaokey.com/tag/（印）克里希纳·巴夫萨（Krishna Bhavsar），（印）纳雷什·库马尔（Naresh Kumar），（印）普拉塔普·丹蒂（Pratap Dangeti）著.html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关键词搜索：https://www.jiaokey.com/tag/自然语言处理Python进阶.html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