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诺贝尔经济学奖的逻辑</w:t>
      </w:r>
    </w:p>
    <w:p>
      <w:r>
        <w:rPr>
          <w:rFonts w:ascii="宋体" w:hAnsi="宋体" w:eastAsia="宋体"/>
          <w:sz w:val="24"/>
        </w:rPr>
        <w:t>（英）阿夫纳·奥弗尔，（瑞典）加布里埃尔·索德伯格著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（英）阿夫纳·奥弗尔，（瑞典）加布里埃尔·索德伯格著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本书出售、求购地址：https://www.jiaokey.com/book/detail/14545370.html</w:t>
      </w:r>
    </w:p>
    <w:p>
      <w:r>
        <w:t>更多相关图书推荐：https://www.jiaokey.com</w:t>
      </w:r>
    </w:p>
    <w:p>
      <w:r>
        <w:t>（英）阿夫纳·奥弗尔，（瑞典）加布里埃尔·索德伯格著 其他作品：https://www.jiaokey.com/tag/（英）阿夫纳·奥弗尔，（瑞典）加布里埃尔·索德伯格著.html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关键词搜索：https://www.jiaokey.com/tag/诺贝尔经济学奖的逻辑.html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