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</w:t>
      </w:r>
    </w:p>
    <w:p>
      <w:r>
        <w:rPr>
          <w:rFonts w:ascii="宋体" w:hAnsi="宋体" w:eastAsia="宋体"/>
          <w:sz w:val="24"/>
        </w:rPr>
        <w:t>龚振平，马春梅主编；闫超，董守坤副主编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龚振平，马春梅主编；闫超，董守坤副主编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本书出售、求购地址：https://www.jiaokey.com/book/detail/14545204.html</w:t>
      </w:r>
    </w:p>
    <w:p>
      <w:r>
        <w:t>更多相关图书推荐：https://www.jiaokey.com</w:t>
      </w:r>
    </w:p>
    <w:p>
      <w:r>
        <w:t>龚振平，马春梅主编；闫超，董守坤副主编 其他作品：https://www.jiaokey.com/tag/龚振平，马春梅主编；闫超，董守坤副主编.html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关键词搜索：https://www.jiaokey.com/tag/耕作学.html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