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中国干旱地区可持续土地管理最佳实践  3</w:t>
      </w:r>
    </w:p>
    <w:p>
      <w:r>
        <w:rPr>
          <w:rFonts w:ascii="宋体" w:hAnsi="宋体" w:eastAsia="宋体"/>
          <w:sz w:val="24"/>
        </w:rPr>
        <w:t>中国-全球环境基金干旱生态系统土地退化防治伙伴关系，国家林业和草原局科学技术司编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中国干旱地区可持续土地管理最佳实践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中国-全球环境基金干旱生态系统土地退化防治伙伴关系，国家林业和草原局科学技术司编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本书出售、求购地址：https://www.jiaokey.com/book/detail/14545084.html</w:t>
      </w:r>
    </w:p>
    <w:p>
      <w:r>
        <w:t>更多相关图书推荐：https://www.jiaokey.com</w:t>
      </w:r>
    </w:p>
    <w:p>
      <w:r>
        <w:t>中国-全球环境基金干旱生态系统土地退化防治伙伴关系，国家林业和草原局科学技术司编 其他作品：https://www.jiaokey.com/tag/中国-全球环境基金干旱生态系统土地退化防治伙伴关系，国家林业和草原局科学技术司编.html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关键词搜索：https://www.jiaokey.com/tag/中国干旱地区可持续土地管理最佳实践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