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梨树煤矿防治煤与瓦斯突出及瓦斯抽采标准管理细则</w:t>
      </w:r>
    </w:p>
    <w:p>
      <w:r>
        <w:rPr>
          <w:rFonts w:ascii="宋体" w:hAnsi="宋体" w:eastAsia="宋体"/>
          <w:sz w:val="24"/>
        </w:rPr>
        <w:t>苏广福，吴兵主编；王宝山，赵真洪，常正宏副主编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梨树煤矿防治煤与瓦斯突出及瓦斯抽采标准管理细则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苏广福，吴兵主编；王宝山，赵真洪，常正宏副主编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本书出售、求购地址：https://www.jiaokey.com/book/detail/14543790.html</w:t>
      </w:r>
    </w:p>
    <w:p>
      <w:r>
        <w:t>更多相关图书推荐：https://www.jiaokey.com</w:t>
      </w:r>
    </w:p>
    <w:p>
      <w:r>
        <w:t>苏广福，吴兵主编；王宝山，赵真洪，常正宏副主编 其他作品：https://www.jiaokey.com/tag/苏广福，吴兵主编；王宝山，赵真洪，常正宏副主编.html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关键词搜索：https://www.jiaokey.com/tag/梨树煤矿防治煤与瓦斯突出及瓦斯抽采标准管理细则.html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