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国画基础技法技巧资料大全</w:t>
      </w:r>
    </w:p>
    <w:p>
      <w:r>
        <w:rPr>
          <w:rFonts w:ascii="宋体" w:hAnsi="宋体" w:eastAsia="宋体"/>
          <w:sz w:val="24"/>
        </w:rPr>
        <w:t>崔亚敏，石燕芬，孙海虹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国画基础技法技巧资料大全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崔亚敏，石燕芬，孙海虹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本书出售、求购地址：https://www.jiaokey.com/book/detail/14538611.html</w:t>
      </w:r>
    </w:p>
    <w:p>
      <w:r>
        <w:t>更多相关图书推荐：https://www.jiaokey.com</w:t>
      </w:r>
    </w:p>
    <w:p>
      <w:r>
        <w:t>崔亚敏，石燕芬，孙海虹 其他作品：https://www.jiaokey.com/tag/崔亚敏，石燕芬，孙海虹.html</w:t>
      </w:r>
    </w:p>
    <w:p>
      <w:r>
        <w:t>北京日报出版社 出版图书：https://www.jiaokey.com/tag/北京日报出版社.html</w:t>
      </w:r>
    </w:p>
    <w:p>
      <w:r>
        <w:t>关键词搜索：https://www.jiaokey.com/tag/国画基础技法技巧资料大全.html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