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普通地图编制</w:t>
      </w:r>
    </w:p>
    <w:p>
      <w:r>
        <w:rPr>
          <w:rFonts w:ascii="宋体" w:hAnsi="宋体" w:eastAsia="宋体"/>
          <w:sz w:val="24"/>
        </w:rPr>
        <w:t>时会省，朱文军，边志华，黄琰，琚丽君，崔晓慧，张戈兰编著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普通地图编制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时会省，朱文军，边志华，黄琰，琚丽君，崔晓慧，张戈兰编著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本书出售、求购地址：https://www.jiaokey.com/book/detail/14536556.html</w:t>
      </w:r>
    </w:p>
    <w:p>
      <w:r>
        <w:t>更多相关图书推荐：https://www.jiaokey.com</w:t>
      </w:r>
    </w:p>
    <w:p>
      <w:r>
        <w:t>时会省，朱文军，边志华，黄琰，琚丽君，崔晓慧，张戈兰编著 其他作品：https://www.jiaokey.com/tag/时会省，朱文军，边志华，黄琰，琚丽君，崔晓慧，张戈兰编著.html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关键词搜索：https://www.jiaokey.com/tag/普通地图编制.html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