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</w:t>
      </w:r>
    </w:p>
    <w:p>
      <w:r>
        <w:rPr>
          <w:rFonts w:ascii="宋体" w:hAnsi="宋体" w:eastAsia="宋体"/>
          <w:sz w:val="24"/>
        </w:rPr>
        <w:t>（澳）乔吉·多纳文；（澳）安玛丽·菲恩图；余治莹译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（澳）乔吉·多纳文；（澳）安玛丽·菲恩图；余治莹译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本书出售、求购地址：https://www.jiaokey.com/book/detail/14528261.html</w:t>
      </w:r>
    </w:p>
    <w:p>
      <w:r>
        <w:t>更多相关图书推荐：https://www.jiaokey.com</w:t>
      </w:r>
    </w:p>
    <w:p>
      <w:r>
        <w:t>（澳）乔吉·多纳文；（澳）安玛丽·菲恩图；余治莹译 其他作品：https://www.jiaokey.com/tag/（澳）乔吉·多纳文；（澳）安玛丽·菲恩图；余治莹译.html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关键词搜索：https://www.jiaokey.com/tag/露露.html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