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大学信息技术实用教程</w:t>
      </w:r>
    </w:p>
    <w:p>
      <w:r>
        <w:rPr>
          <w:rFonts w:ascii="宋体" w:hAnsi="宋体" w:eastAsia="宋体"/>
          <w:sz w:val="24"/>
        </w:rPr>
        <w:t>刘连忠，石硕，李洋，孙怡，杨涛，周茅英，韦巍，华丹阳，金秀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刘连忠，石硕，李洋，孙怡，杨涛，周茅英，韦巍，华丹阳，金秀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本书出售、求购地址：https://www.jiaokey.com/book/detail/14527613.html</w:t>
      </w:r>
    </w:p>
    <w:p>
      <w:r>
        <w:t>更多相关图书推荐：https://www.jiaokey.com</w:t>
      </w:r>
    </w:p>
    <w:p>
      <w:r>
        <w:t>刘连忠，石硕，李洋，孙怡，杨涛，周茅英，韦巍，华丹阳，金秀 其他作品：https://www.jiaokey.com/tag/刘连忠，石硕，李洋，孙怡，杨涛，周茅英，韦巍，华丹阳，金秀.html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关键词搜索：https://www.jiaokey.com/tag/大学信息技术实用教程.html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