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直流电机控制技术</w:t>
      </w:r>
    </w:p>
    <w:p>
      <w:r>
        <w:rPr>
          <w:rFonts w:ascii="宋体" w:hAnsi="宋体" w:eastAsia="宋体"/>
          <w:sz w:val="24"/>
        </w:rPr>
        <w:t>（日）萩野弘司，井桁健一郎著；娄宜之，陈希文译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直流电机控制技术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（日）萩野弘司，井桁健一郎著；娄宜之，陈希文译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本书出售、求购地址：https://www.jiaokey.com/book/detail/14522991.html</w:t>
      </w:r>
    </w:p>
    <w:p>
      <w:r>
        <w:t>更多相关图书推荐：https://www.jiaokey.com</w:t>
      </w:r>
    </w:p>
    <w:p>
      <w:r>
        <w:t>（日）萩野弘司，井桁健一郎著；娄宜之，陈希文译 其他作品：https://www.jiaokey.com/tag/（日）萩野弘司，井桁健一郎著；娄宜之，陈希文译.html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关键词搜索：https://www.jiaokey.com/tag/直流电机控制技术.html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