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水电水利建设工程项目划分实用手册</w:t>
      </w:r>
    </w:p>
    <w:p>
      <w:r>
        <w:rPr>
          <w:rFonts w:ascii="宋体" w:hAnsi="宋体" w:eastAsia="宋体"/>
          <w:sz w:val="24"/>
        </w:rPr>
        <w:t>四川大唐国际甘孜水电开发有限公司组编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水电水利建设工程项目划分实用手册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四川大唐国际甘孜水电开发有限公司组编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本书出售、求购地址：https://www.jiaokey.com/book/detail/14522931.html</w:t>
      </w:r>
    </w:p>
    <w:p>
      <w:r>
        <w:t>更多相关图书推荐：https://www.jiaokey.com</w:t>
      </w:r>
    </w:p>
    <w:p>
      <w:r>
        <w:t>四川大唐国际甘孜水电开发有限公司组编 其他作品：https://www.jiaokey.com/tag/四川大唐国际甘孜水电开发有限公司组编.html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关键词搜索：https://www.jiaokey.com/tag/水电水利建设工程项目划分实用手册.html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