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国际散装运输液化气体船舶构造和设备规则  散装运输液化气体船舶构造和设备规则  现有散装运输液化气体船舶规则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国际散装运输液化气体船舶构造和设备规则  散装运输液化气体船舶构造和设备规则  现有散装运输液化气体船舶规则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本书出售、求购地址：https://www.jiaokey.com/book/detail/14522154.html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关键词搜索：https://www.jiaokey.com/tag/国际散装运输液化气体船舶构造和设备规则  散装运输液化气体船舶构造和设备规则  现有散装运输液化气体船舶规则.html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