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船用装饰材料选用手册  非金属部分</w:t>
      </w:r>
    </w:p>
    <w:p>
      <w:r>
        <w:rPr>
          <w:rFonts w:ascii="宋体" w:hAnsi="宋体" w:eastAsia="宋体"/>
          <w:sz w:val="24"/>
        </w:rPr>
        <w:t>王培健，戴雪良编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船用装饰材料选用手册  非金属部分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王培健，戴雪良编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《江苏船舶》编辑部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本书出售、求购地址：https://www.jiaokey.com/book/detail/14522118.html</w:t>
      </w:r>
    </w:p>
    <w:p>
      <w:r>
        <w:t>更多相关图书推荐：https://www.jiaokey.com</w:t>
      </w:r>
    </w:p>
    <w:p>
      <w:r>
        <w:t>王培健，戴雪良编 其他作品：https://www.jiaokey.com/tag/王培健，戴雪良编.html</w:t>
      </w:r>
    </w:p>
    <w:p>
      <w:r>
        <w:t>《江苏船舶》编辑部 出版图书：https://www.jiaokey.com/tag/《江苏船舶》编辑部.html</w:t>
      </w:r>
    </w:p>
    <w:p>
      <w:r>
        <w:t>关键词搜索：https://www.jiaokey.com/tag/船用装饰材料选用手册  非金属部分.html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