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税法与私法关系总论  兼论中国现代税法学基本理论</w:t>
      </w:r>
    </w:p>
    <w:p>
      <w:r>
        <w:rPr>
          <w:rFonts w:ascii="宋体" w:hAnsi="宋体" w:eastAsia="宋体"/>
          <w:sz w:val="24"/>
        </w:rPr>
        <w:t>李刚著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税法与私法关系总论  兼论中国现代税法学基本理论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本书出售、求购地址：https://www.jiaokey.com/book/detail/14517776.html</w:t>
      </w:r>
    </w:p>
    <w:p>
      <w:r>
        <w:t>更多相关图书推荐：https://www.jiaokey.com</w:t>
      </w:r>
    </w:p>
    <w:p>
      <w:r>
        <w:t>李刚著 其他作品：https://www.jiaokey.com/tag/李刚著.html</w:t>
      </w:r>
    </w:p>
    <w:p>
      <w:r>
        <w:t>关键词搜索：https://www.jiaokey.com/tag/税法与私法关系总论  兼论中国现代税法学基本理论.html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