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进出口企业管理人员办理海关事务法律指引</w:t>
      </w:r>
    </w:p>
    <w:p>
      <w:r>
        <w:rPr>
          <w:rFonts w:ascii="宋体" w:hAnsi="宋体" w:eastAsia="宋体"/>
          <w:sz w:val="24"/>
        </w:rPr>
        <w:t>《进出口企业管理人员办理海关事务法律指引》编委会编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进出口企业管理人员办理海关事务法律指引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《进出口企业管理人员办理海关事务法律指引》编委会编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本书出售、求购地址：https://www.jiaokey.com/book/detail/14517737.html</w:t>
      </w:r>
    </w:p>
    <w:p>
      <w:r>
        <w:t>更多相关图书推荐：https://www.jiaokey.com</w:t>
      </w:r>
    </w:p>
    <w:p>
      <w:r>
        <w:t>《进出口企业管理人员办理海关事务法律指引》编委会编 其他作品：https://www.jiaokey.com/tag/《进出口企业管理人员办理海关事务法律指引》编委会编.html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关键词搜索：https://www.jiaokey.com/tag/进出口企业管理人员办理海关事务法律指引.html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