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新政策下财会管理全案丛书  最新内部控制管理操作实务全案</w:t>
      </w:r>
    </w:p>
    <w:p>
      <w:r>
        <w:rPr>
          <w:rFonts w:ascii="宋体" w:hAnsi="宋体" w:eastAsia="宋体"/>
          <w:sz w:val="24"/>
        </w:rPr>
        <w:t>贺志东著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新政策下财会管理全案丛书  最新内部控制管理操作实务全案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贺志东著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本书出售、求购地址：https://www.jiaokey.com/book/detail/14513121.html</w:t>
      </w:r>
    </w:p>
    <w:p>
      <w:r>
        <w:t>更多相关图书推荐：https://www.jiaokey.com</w:t>
      </w:r>
    </w:p>
    <w:p>
      <w:r>
        <w:t>贺志东著 其他作品：https://www.jiaokey.com/tag/贺志东著.html</w:t>
      </w:r>
    </w:p>
    <w:p>
      <w:r>
        <w:t>关键词搜索：https://www.jiaokey.com/tag/新政策下财会管理全案丛书  最新内部控制管理操作实务全案.html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