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《思想道德修养与法律基础》国际精品课程教学案例</w:t>
      </w:r>
    </w:p>
    <w:p>
      <w:r>
        <w:rPr>
          <w:rFonts w:ascii="宋体" w:hAnsi="宋体" w:eastAsia="宋体"/>
          <w:sz w:val="24"/>
        </w:rPr>
        <w:t>马建青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《思想道德修养与法律基础》国际精品课程教学案例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本书出售、求购地址：https://www.jiaokey.com/book/detail/14512685.html</w:t>
      </w:r>
    </w:p>
    <w:p>
      <w:r>
        <w:t>更多相关图书推荐：https://www.jiaokey.com</w:t>
      </w:r>
    </w:p>
    <w:p>
      <w:r>
        <w:t>马建青 其他作品：https://www.jiaokey.com/tag/马建青.html</w:t>
      </w:r>
    </w:p>
    <w:p>
      <w:r>
        <w:t>国际行政学院出版社 出版图书：https://www.jiaokey.com/tag/国际行政学院出版社.html</w:t>
      </w:r>
    </w:p>
    <w:p>
      <w:r>
        <w:t>关键词搜索：https://www.jiaokey.com/tag/《思想道德修养与法律基础》国际精品课程教学案例.html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