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行业垄断、管理层权力与高管薪酬制度研究</w:t>
      </w:r>
    </w:p>
    <w:p>
      <w:r>
        <w:rPr>
          <w:rFonts w:ascii="宋体" w:hAnsi="宋体" w:eastAsia="宋体"/>
          <w:sz w:val="24"/>
        </w:rPr>
        <w:t>郭淑娟著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行业垄断、管理层权力与高管薪酬制度研究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本书出售、求购地址：https://www.jiaokey.com/book/detail/14512048.html</w:t>
      </w:r>
    </w:p>
    <w:p>
      <w:r>
        <w:t>更多相关图书推荐：https://www.jiaokey.com</w:t>
      </w:r>
    </w:p>
    <w:p>
      <w:r>
        <w:t>郭淑娟著 其他作品：https://www.jiaokey.com/tag/郭淑娟著.html</w:t>
      </w:r>
    </w:p>
    <w:p>
      <w:r>
        <w:t>知识产权出版社有限责任公司 出版图书：https://www.jiaokey.com/tag/知识产权出版社有限责任公司.html</w:t>
      </w:r>
    </w:p>
    <w:p>
      <w:r>
        <w:t>关键词搜索：https://www.jiaokey.com/tag/行业垄断、管理层权力与高管薪酬制度研究.html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