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“西藏问题”国际纷争的背景、流变及视域</w:t>
      </w:r>
    </w:p>
    <w:p>
      <w:r>
        <w:rPr>
          <w:rFonts w:ascii="宋体" w:hAnsi="宋体" w:eastAsia="宋体"/>
          <w:sz w:val="24"/>
        </w:rPr>
        <w:t>（卢森堡）阿尔伯特·艾廷格著；周健，曾文卉，何妙生译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“西藏问题”国际纷争的背景、流变及视域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（卢森堡）阿尔伯特·艾廷格著；周健，曾文卉，何妙生译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本书出售、求购地址：https://www.jiaokey.com/book/detail/14510950.html</w:t>
      </w:r>
    </w:p>
    <w:p>
      <w:r>
        <w:t>更多相关图书推荐：https://www.jiaokey.com</w:t>
      </w:r>
    </w:p>
    <w:p>
      <w:r>
        <w:t>（卢森堡）阿尔伯特·艾廷格著；周健，曾文卉，何妙生译 其他作品：https://www.jiaokey.com/tag/（卢森堡）阿尔伯特·艾廷格著；周健，曾文卉，何妙生译.html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关键词搜索：https://www.jiaokey.com/tag/“西藏问题”国际纷争的背景、流变及视域.html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