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十三五普通高等教育应用型规划教材  会计与财务系列  纳税筹划</w:t>
      </w:r>
    </w:p>
    <w:p>
      <w:r>
        <w:rPr>
          <w:rFonts w:ascii="宋体" w:hAnsi="宋体" w:eastAsia="宋体"/>
          <w:sz w:val="24"/>
        </w:rPr>
        <w:t>梁文涛编著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十三五普通高等教育应用型规划教材  会计与财务系列  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本书出售、求购地址：https://www.jiaokey.com/book/detail/14510755.html</w:t>
      </w:r>
    </w:p>
    <w:p>
      <w:r>
        <w:t>更多相关图书推荐：https://www.jiaokey.com</w:t>
      </w:r>
    </w:p>
    <w:p>
      <w:r>
        <w:t>梁文涛编著 其他作品：https://www.jiaokey.com/tag/梁文涛编著.html</w:t>
      </w:r>
    </w:p>
    <w:p>
      <w:r>
        <w:t>中国人民大学有限公司 出版图书：https://www.jiaokey.com/tag/中国人民大学有限公司.html</w:t>
      </w:r>
    </w:p>
    <w:p>
      <w:r>
        <w:t>关键词搜索：https://www.jiaokey.com/tag/十三五普通高等教育应用型规划教材  会计与财务系列  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