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</w:t>
      </w:r>
    </w:p>
    <w:p>
      <w:r>
        <w:rPr>
          <w:rFonts w:ascii="宋体" w:hAnsi="宋体" w:eastAsia="宋体"/>
          <w:sz w:val="24"/>
        </w:rPr>
        <w:t>贾福萍，李富民主编；耿欧，苗生龙，郭育霞，方忠年副主编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贾福萍，李富民主编；耿欧，苗生龙，郭育霞，方忠年副主编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本书出售、求购地址：https://www.jiaokey.com/book/detail/14509639.html</w:t>
      </w:r>
    </w:p>
    <w:p>
      <w:r>
        <w:t>更多相关图书推荐：https://www.jiaokey.com</w:t>
      </w:r>
    </w:p>
    <w:p>
      <w:r>
        <w:t>贾福萍，李富民主编；耿欧，苗生龙，郭育霞，方忠年副主编 其他作品：https://www.jiaokey.com/tag/贾福萍，李富民主编；耿欧，苗生龙，郭育霞，方忠年副主编.html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关键词搜索：https://www.jiaokey.com/tag/混凝土结构设计原理.html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