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</w:t>
      </w:r>
    </w:p>
    <w:p>
      <w:r>
        <w:rPr>
          <w:rFonts w:ascii="宋体" w:hAnsi="宋体" w:eastAsia="宋体"/>
          <w:sz w:val="24"/>
        </w:rPr>
        <w:t>吴仕宏，高艳萍主编；周巍，黄蕊，杨冶杰，姜竹楠副主编；邵力耕主审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吴仕宏，高艳萍主编；周巍，黄蕊，杨冶杰，姜竹楠副主编；邵力耕主审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本书出售、求购地址：https://www.jiaokey.com/book/detail/14507472.html</w:t>
      </w:r>
    </w:p>
    <w:p>
      <w:r>
        <w:t>更多相关图书推荐：https://www.jiaokey.com</w:t>
      </w:r>
    </w:p>
    <w:p>
      <w:r>
        <w:t>吴仕宏，高艳萍主编；周巍，黄蕊，杨冶杰，姜竹楠副主编；邵力耕主审 其他作品：https://www.jiaokey.com/tag/吴仕宏，高艳萍主编；周巍，黄蕊，杨冶杰，姜竹楠副主编；邵力耕主审.html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