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探索全面行使重大事项决定权的途径  地方人大重大事项决定权行使机制的实践与思考</w:t>
      </w:r>
    </w:p>
    <w:p>
      <w:r>
        <w:rPr>
          <w:rFonts w:ascii="宋体" w:hAnsi="宋体" w:eastAsia="宋体"/>
          <w:sz w:val="24"/>
        </w:rPr>
        <w:t>龙超云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探索全面行使重大事项决定权的途径  地方人大重大事项决定权行使机制的实践与思考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龙超云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本书出售、求购地址：https://www.jiaokey.com/book/detail/14507431.html</w:t>
      </w:r>
    </w:p>
    <w:p>
      <w:r>
        <w:t>更多相关图书推荐：https://www.jiaokey.com</w:t>
      </w:r>
    </w:p>
    <w:p>
      <w:r>
        <w:t>龙超云 其他作品：https://www.jiaokey.com/tag/龙超云.html</w:t>
      </w:r>
    </w:p>
    <w:p>
      <w:r>
        <w:t>关键词搜索：https://www.jiaokey.com/tag/探索全面行使重大事项决定权的途径  地方人大重大事项决定权行使机制的实践与思考.html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