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TensorFlow神经网络编程</w:t>
      </w:r>
    </w:p>
    <w:p>
      <w:r>
        <w:rPr>
          <w:rFonts w:ascii="宋体" w:hAnsi="宋体" w:eastAsia="宋体"/>
          <w:sz w:val="24"/>
        </w:rPr>
        <w:t>（印）曼普里特·辛格·古特，（印）拉蒂普·杜瓦著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TensorFlow神经网络编程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（印）曼普里特·辛格·古特，（印）拉蒂普·杜瓦著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本书出售、求购地址：https://www.jiaokey.com/book/detail/14507346.html</w:t>
      </w:r>
    </w:p>
    <w:p>
      <w:r>
        <w:t>更多相关图书推荐：https://www.jiaokey.com</w:t>
      </w:r>
    </w:p>
    <w:p>
      <w:r>
        <w:t>（印）曼普里特·辛格·古特，（印）拉蒂普·杜瓦著 其他作品：https://www.jiaokey.com/tag/（印）曼普里特·辛格·古特，（印）拉蒂普·杜瓦著.html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关键词搜索：https://www.jiaokey.com/tag/TensorFlow神经网络编程.html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